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55FC" w14:textId="77777777" w:rsidR="00926AAF" w:rsidRPr="00752D37" w:rsidRDefault="00926AAF" w:rsidP="00926AAF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0222BDA9" w14:textId="7EF48B7A" w:rsidR="00926AAF" w:rsidRPr="00926AAF" w:rsidRDefault="00926AAF" w:rsidP="00926A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3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1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722D95A2" w14:textId="77777777" w:rsidR="00926AAF" w:rsidRDefault="00926AAF" w:rsidP="00926AAF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3D33BB" w14:textId="6F6FD8DD" w:rsidR="008A2B9E" w:rsidRPr="00BE6716" w:rsidRDefault="008A2B9E" w:rsidP="00926AAF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Президентом Российской Федерации 29.05.2025 утвержден перечень поручений по итогам встречи с главами муниципальных образований в рамках второго Всероссийского муниципального форума «Малая родина – сила России» 21 апреля 2025 года.</w:t>
      </w:r>
    </w:p>
    <w:p w14:paraId="0D4F4324" w14:textId="289E66A2" w:rsidR="008A2B9E" w:rsidRPr="00BE6716" w:rsidRDefault="008A2B9E" w:rsidP="00926AA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Среди поручений можно отметить следующие:</w:t>
      </w:r>
    </w:p>
    <w:p w14:paraId="60760F96" w14:textId="1EF9D3C9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подготовке проекта федерального бюджета на 2026 год и на плановый период 2027 и 2028 годов предусмотреть софинансирование за счет средств федерального бюджета мероприятий по строительству, модернизации и капитальному ремонту детских спортивных школ, а также организаций дополнительного образования детей, находящихся в ведении органов управления в сфере образования, в рамках государственных программ Российской Федерации «Развитие физической культуры и спорта» и «Развитие образования»;</w:t>
      </w:r>
    </w:p>
    <w:p w14:paraId="0334CE28" w14:textId="7D026EB0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расширить практику включения в федеральные проекты и (или) государственные программы Российской Федерации мероприятий по софинансированию за счет средств федерального бюджета проектов, реализуемых на базе принципов инициативного бюджетирования;</w:t>
      </w:r>
    </w:p>
    <w:p w14:paraId="514239B9" w14:textId="525E6B6F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создать условия для поступления участников специальной военной операции на муниципальную службу, в том числе за счет корректировки квалификационных требований к стажу муниципальной службы или работы по специальности, направлению подготовки, а также к уровню образования;</w:t>
      </w:r>
    </w:p>
    <w:p w14:paraId="283CB5BF" w14:textId="4B0F6FC3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принимать меры по увековечению памяти защитников Отечества, в том числе погибших (умерших) участников специальной военной операции;</w:t>
      </w:r>
    </w:p>
    <w:p w14:paraId="3C1516B6" w14:textId="7E5E8C56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реализации программ по поддержке местных производителей и продвижению их продукции использовать в том числе инфраструктуру цифровых торговых площадок;</w:t>
      </w:r>
    </w:p>
    <w:p w14:paraId="1339057F" w14:textId="1D991F00" w:rsidR="008A2B9E" w:rsidRPr="00BE6716" w:rsidRDefault="008A2B9E" w:rsidP="008A2B9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Правительству Российской Федерации совместно с акционерным обществом «ДОМ.РФ» в целях вовлечения неиспользуемого имущества в хозяйственный оборот обеспечить внесение в законодательство Российской Федерации изменений, направленных на определение этого акционерного общества агентом субъектов Российской Федерации и муниципальных образований в отношении принадлежащих им и находящихся в неудовлетворительном состоянии объектов культурного наследия (памятников истории и культуры) народов Российской Федерации и земельных участков, на которых они расположены (по аналогии с действующим статусом агента Российской Федерации в отношении находящихся в федеральной собственности земельных участков и иных объектов недвижимого имущества).</w:t>
      </w:r>
    </w:p>
    <w:p w14:paraId="05C16059" w14:textId="1BCE526F" w:rsidR="002D4017" w:rsidRPr="00BE6716" w:rsidRDefault="00E2301A" w:rsidP="00926AA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Постановлением Правительства Российской Федерации от 23.05.2025 № 718 «О внесении изменений в некоторые акты Правительства Российской Федерации» в</w:t>
      </w:r>
      <w:r w:rsidR="002D4017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целях реализации Федерального закона от 28.12.2024 </w:t>
      </w: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="002D4017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540-ФЗ </w:t>
      </w: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2D4017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 внесении изменений в Федеральный закон </w:t>
      </w: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2D4017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 государственном контроле (надзоре) и муниципальном контроле в Российской Федерации</w:t>
      </w: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  <w:r w:rsidR="002D4017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72AD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были изменены </w:t>
      </w:r>
      <w:r w:rsidR="001E72AD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отдельные акты Правительства Российской Федерации в сфере государственного контроля (надзора), муниципального контроля</w:t>
      </w:r>
      <w:r w:rsidR="002D4017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EA4D89C" w14:textId="394C1D82" w:rsidR="00E2301A" w:rsidRPr="00BE6716" w:rsidRDefault="00E2301A" w:rsidP="00926AA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в постановлении Правительства Российской Федерации 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скорректирован 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базовый перечень сведений, включаемых в доклад о виде государственного контроля (надзора), виде муниципального контроля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516A780" w14:textId="618DE441" w:rsidR="00E2301A" w:rsidRPr="00BE6716" w:rsidRDefault="00924518" w:rsidP="00926AA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E2301A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бщие сведения о провед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E2301A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нных профилактических мероприяти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ях</w:t>
      </w:r>
      <w:r w:rsidR="00E2301A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теперь должны включать в себя, 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том числе</w:t>
      </w:r>
      <w:r w:rsidR="00E2301A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предложения по результатам обобщения правоприменительной практики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884F90F" w14:textId="47613A4C" w:rsidR="0044330C" w:rsidRPr="00BE6716" w:rsidRDefault="00924518" w:rsidP="00926AA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042BD0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сведения о достижении ключевых показателей вида контроля теперь должны включать в себя, в том числе сведения о влиянии профилактических мероприятий и контрольных (надзорных) мероприятий на достижение ключевых показателей</w:t>
      </w:r>
      <w:r w:rsidR="000D6DB1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9F7CA14" w14:textId="00B94E9C" w:rsidR="0044330C" w:rsidRPr="00BE6716" w:rsidRDefault="0044330C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2️</w:t>
      </w:r>
      <w:r w:rsidR="00042BD0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) в постановлении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 изменены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Правила формирования плана проведения плановых контрольных (надзорных) мероприятий на очередной календарный год</w:t>
      </w:r>
      <w:r w:rsidR="00042BD0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, его согласования с органами прокуратуры, включения в него и исключения из него контрольных (надзорных) мероприятий в течение года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:</w:t>
      </w:r>
    </w:p>
    <w:p w14:paraId="17DFDCA2" w14:textId="7806512B" w:rsidR="0044330C" w:rsidRPr="00BE6716" w:rsidRDefault="00042BD0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- п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роект ежегодного плана формируется 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на основе перечней объектов контроля по видам муниципального контроля, содержащимся в едином реестре видов муниципального контроля, в соответствии с периодичностью проведения плановых контрольных (надзорных) мероприятий, установленной положением о виде контроля в отношении объектов контроля, отнесенных к категориям чрезвычайно высокого и высокого риска;</w:t>
      </w:r>
    </w:p>
    <w:p w14:paraId="1E386627" w14:textId="2564DD7A" w:rsidR="0044330C" w:rsidRPr="00BE6716" w:rsidRDefault="000D6DB1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- о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сновани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я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для внесения изменений в ежегодный план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дополнены таким новым основанием как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проведение обязательного профилактического визита в соответствии с ч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астью 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3 ст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атьи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25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2CF14B63" w14:textId="362893A7" w:rsidR="0044330C" w:rsidRPr="00BE6716" w:rsidRDefault="0044330C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3️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)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в постановлении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скорректированы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Правила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:</w:t>
      </w:r>
    </w:p>
    <w:p w14:paraId="738B8210" w14:textId="59523535" w:rsidR="000D6DB1" w:rsidRPr="00BE6716" w:rsidRDefault="00924518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- с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огласно внесенным изменениям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</w:t>
      </w:r>
      <w:r w:rsidR="000D6DB1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lastRenderedPageBreak/>
        <w:t>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подразделений);</w:t>
      </w:r>
    </w:p>
    <w:p w14:paraId="220F3545" w14:textId="41D00F17" w:rsidR="0044330C" w:rsidRPr="00BE6716" w:rsidRDefault="000D6DB1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- п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роект программы профилактики теперь не подлежит общественному обсуждению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;</w:t>
      </w:r>
    </w:p>
    <w:p w14:paraId="68AF8F1F" w14:textId="2866186E" w:rsidR="0044330C" w:rsidRPr="00BE6716" w:rsidRDefault="0044330C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4️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) в постановлении Правительства Российской Федерации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от 03.08.2021 № 1299 «Об утверждении Правил возмещения контролируемому лицу стоимости утраченной продукции (утраченных товаров) в ходе выездной проверки» расширен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перечень контрольных (надзорных) мероприятий, для которых действуют правила возмещения контролируемому лицу стоимости утраченной продукции (утраченных товаров). Теперь они применяются 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не только к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выездной проверке (была ранее)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, но также при осуществлении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выборочно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го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контрол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я и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рейдово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го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 осмотр</w:t>
      </w:r>
      <w:r w:rsidR="00924518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а.</w:t>
      </w:r>
    </w:p>
    <w:p w14:paraId="69581006" w14:textId="701F8D34" w:rsidR="0044330C" w:rsidRPr="00BE6716" w:rsidRDefault="00924518" w:rsidP="00926AAF">
      <w:pPr>
        <w:widowControl w:val="0"/>
        <w:ind w:firstLine="567"/>
        <w:jc w:val="both"/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Все вышеперечисленные изменения вступают 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в силу 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 xml:space="preserve">с </w:t>
      </w:r>
      <w:r w:rsidR="0044330C"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31.05.2025</w:t>
      </w:r>
      <w:r w:rsidRPr="00BE6716">
        <w:rPr>
          <w:rFonts w:ascii="Times New Roman" w:eastAsia="Symbol" w:hAnsi="Times New Roman" w:cs="Times New Roman"/>
          <w:sz w:val="28"/>
          <w:szCs w:val="28"/>
          <w:lang w:eastAsia="zh-CN" w:bidi="hi-IN"/>
          <w14:ligatures w14:val="none"/>
        </w:rPr>
        <w:t>.</w:t>
      </w:r>
    </w:p>
    <w:p w14:paraId="02882B8D" w14:textId="598E9E41" w:rsidR="005D39DA" w:rsidRPr="00BE6716" w:rsidRDefault="005D39DA" w:rsidP="005D39D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Постановлением Правительства Российской Федерации от 27.05.2025 № 732 «О внесении изменений в некоторые акты Правительства Российской Федерации» внесены изменения в основы ценообразования в сфере теплоснабжения, водоснабжения и водоотведения.</w:t>
      </w:r>
    </w:p>
    <w:p w14:paraId="15C069A3" w14:textId="5FDACFB8" w:rsidR="005D39DA" w:rsidRPr="00BE6716" w:rsidRDefault="005D39DA" w:rsidP="005D39D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Данным постановлением Правительства Российской Федерации уточнен порядок учета экономически обоснованных расходов, в том числе расходов, связанных с обслуживанием заемных средств. Предусмотрена возможность в первом полугодии 2025 года утверждения и корректировки инвестиционных программ в сферах теплоснабжения, водоснабжения и водоотведения.</w:t>
      </w:r>
    </w:p>
    <w:p w14:paraId="11A140AC" w14:textId="77777777" w:rsidR="005D39DA" w:rsidRPr="00BE6716" w:rsidRDefault="005D39DA" w:rsidP="005D39D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качестве дополнительного основания для пересмотра тарифов установлено решение регионального органа регулирования тарифов, принятое в связи с утверждением (корректировкой) инвестиционной программы.</w:t>
      </w:r>
    </w:p>
    <w:p w14:paraId="1934C2AF" w14:textId="12A3EB12" w:rsidR="00F83CD0" w:rsidRPr="00BE6716" w:rsidRDefault="002D4017" w:rsidP="00926AAF">
      <w:pPr>
        <w:pStyle w:val="revannmrcssattr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BE6716">
        <w:rPr>
          <w:b/>
          <w:bCs/>
          <w:sz w:val="28"/>
          <w:szCs w:val="28"/>
        </w:rPr>
        <w:t>Распоряжением Правительства Российской Федерации от 21.05.2025 № 1264-р «Об утверждении Концепции развития наставничества в Российской Федерации на период до 2030 года и плана мероприятий по ее реализации» у</w:t>
      </w:r>
      <w:r w:rsidR="00F83CD0" w:rsidRPr="00BE6716">
        <w:rPr>
          <w:b/>
          <w:bCs/>
          <w:sz w:val="28"/>
          <w:szCs w:val="28"/>
        </w:rPr>
        <w:t xml:space="preserve">тверждена Концепция развития наставничества в </w:t>
      </w:r>
      <w:r w:rsidR="004732FC" w:rsidRPr="00BE6716">
        <w:rPr>
          <w:b/>
          <w:bCs/>
          <w:sz w:val="28"/>
          <w:szCs w:val="28"/>
        </w:rPr>
        <w:t>Российской Федерации</w:t>
      </w:r>
      <w:r w:rsidR="00F83CD0" w:rsidRPr="00BE6716">
        <w:rPr>
          <w:b/>
          <w:bCs/>
          <w:sz w:val="28"/>
          <w:szCs w:val="28"/>
        </w:rPr>
        <w:t xml:space="preserve"> на период до 2030 года</w:t>
      </w:r>
      <w:r w:rsidR="006B64FB" w:rsidRPr="00BE6716">
        <w:rPr>
          <w:b/>
          <w:bCs/>
          <w:sz w:val="28"/>
          <w:szCs w:val="28"/>
        </w:rPr>
        <w:t>.</w:t>
      </w:r>
    </w:p>
    <w:p w14:paraId="181D6927" w14:textId="57366C38" w:rsidR="00F83CD0" w:rsidRPr="00BE6716" w:rsidRDefault="006B64FB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К</w:t>
      </w:r>
      <w:r w:rsidR="00F83CD0" w:rsidRPr="00BE6716">
        <w:rPr>
          <w:sz w:val="28"/>
          <w:szCs w:val="28"/>
        </w:rPr>
        <w:t xml:space="preserve"> задач</w:t>
      </w:r>
      <w:r w:rsidRPr="00BE6716">
        <w:rPr>
          <w:sz w:val="28"/>
          <w:szCs w:val="28"/>
        </w:rPr>
        <w:t>ам</w:t>
      </w:r>
      <w:r w:rsidR="00F83CD0" w:rsidRPr="00BE6716">
        <w:rPr>
          <w:sz w:val="28"/>
          <w:szCs w:val="28"/>
        </w:rPr>
        <w:t xml:space="preserve"> </w:t>
      </w:r>
      <w:r w:rsidRPr="00BE6716">
        <w:rPr>
          <w:sz w:val="28"/>
          <w:szCs w:val="28"/>
        </w:rPr>
        <w:t>К</w:t>
      </w:r>
      <w:r w:rsidR="00F83CD0" w:rsidRPr="00BE6716">
        <w:rPr>
          <w:sz w:val="28"/>
          <w:szCs w:val="28"/>
        </w:rPr>
        <w:t xml:space="preserve">онцепции </w:t>
      </w:r>
      <w:r w:rsidRPr="00BE6716">
        <w:rPr>
          <w:sz w:val="28"/>
          <w:szCs w:val="28"/>
        </w:rPr>
        <w:t>отнесены</w:t>
      </w:r>
      <w:r w:rsidR="00F83CD0" w:rsidRPr="00BE6716">
        <w:rPr>
          <w:sz w:val="28"/>
          <w:szCs w:val="28"/>
        </w:rPr>
        <w:t xml:space="preserve"> следующие:</w:t>
      </w:r>
    </w:p>
    <w:p w14:paraId="3B57ABC6" w14:textId="08B63736" w:rsidR="00F83CD0" w:rsidRPr="00BE6716" w:rsidRDefault="00F83CD0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определение единой терминологии в сфере наставничества в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>;</w:t>
      </w:r>
    </w:p>
    <w:p w14:paraId="2D65A405" w14:textId="6F860BB7" w:rsidR="00F83CD0" w:rsidRPr="00BE6716" w:rsidRDefault="00F83CD0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обобщение реализуемых в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 xml:space="preserve"> наставнических практик;</w:t>
      </w:r>
    </w:p>
    <w:p w14:paraId="2F522C88" w14:textId="31228E04" w:rsidR="00F83CD0" w:rsidRPr="00BE6716" w:rsidRDefault="00F83CD0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формирование единых подходов к реализации наставничества в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 xml:space="preserve"> в соответствии с целями и задачами экономического и социального развития общества;</w:t>
      </w:r>
    </w:p>
    <w:p w14:paraId="7E8339A4" w14:textId="77777777" w:rsidR="00F83CD0" w:rsidRPr="00BE6716" w:rsidRDefault="00F83CD0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совершенствование механизмов деятельности федеральных органов исполнительной власти, исполнительных органов регионов, органов местного самоуправления, субъектов экономической деятельности, организаций, </w:t>
      </w:r>
      <w:r w:rsidRPr="00BE6716">
        <w:rPr>
          <w:sz w:val="28"/>
          <w:szCs w:val="28"/>
        </w:rPr>
        <w:lastRenderedPageBreak/>
        <w:t>осуществляющих образовательную деятельность, и организаций социальной сферы, направленной на развитие наставничества в Российской Федерации.</w:t>
      </w:r>
    </w:p>
    <w:p w14:paraId="237F3442" w14:textId="77777777" w:rsidR="0068677D" w:rsidRPr="00BE6716" w:rsidRDefault="00F83CD0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Symbol"/>
          <w:sz w:val="28"/>
          <w:szCs w:val="28"/>
          <w:lang w:eastAsia="zh-CN" w:bidi="hi-IN"/>
        </w:rPr>
      </w:pPr>
      <w:r w:rsidRPr="00BE6716">
        <w:rPr>
          <w:sz w:val="28"/>
          <w:szCs w:val="28"/>
        </w:rPr>
        <w:t>Д</w:t>
      </w:r>
      <w:r w:rsidR="006B64FB" w:rsidRPr="00BE6716">
        <w:rPr>
          <w:sz w:val="28"/>
          <w:szCs w:val="28"/>
        </w:rPr>
        <w:t xml:space="preserve">анным </w:t>
      </w:r>
      <w:r w:rsidRPr="00BE6716">
        <w:rPr>
          <w:sz w:val="28"/>
          <w:szCs w:val="28"/>
        </w:rPr>
        <w:t xml:space="preserve">распоряжением </w:t>
      </w:r>
      <w:r w:rsidR="006B64FB" w:rsidRPr="00BE6716">
        <w:rPr>
          <w:sz w:val="28"/>
          <w:szCs w:val="28"/>
        </w:rPr>
        <w:t xml:space="preserve">Правительства Российской Федерации также </w:t>
      </w:r>
      <w:r w:rsidRPr="00BE6716">
        <w:rPr>
          <w:sz w:val="28"/>
          <w:szCs w:val="28"/>
        </w:rPr>
        <w:t>утвержден план мероприятий по реализации концепции.</w:t>
      </w:r>
    </w:p>
    <w:p w14:paraId="32DECF68" w14:textId="7278E893" w:rsidR="005169D3" w:rsidRPr="00BE6716" w:rsidRDefault="006B64FB" w:rsidP="00926AA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Hlk199416721"/>
      <w:r w:rsidRPr="00BE6716">
        <w:rPr>
          <w:rFonts w:eastAsia="Symbol"/>
          <w:sz w:val="28"/>
          <w:szCs w:val="28"/>
          <w:lang w:eastAsia="zh-CN" w:bidi="hi-IN"/>
        </w:rPr>
        <w:t>О</w:t>
      </w:r>
      <w:r w:rsidR="009967C0" w:rsidRPr="00BE6716">
        <w:rPr>
          <w:rFonts w:eastAsia="Symbol"/>
          <w:sz w:val="28"/>
          <w:szCs w:val="28"/>
          <w:lang w:eastAsia="zh-CN" w:bidi="hi-IN"/>
        </w:rPr>
        <w:t xml:space="preserve">рганам государственной власти субъектов Российской Федерации и органам местного самоуправления </w:t>
      </w:r>
      <w:r w:rsidRPr="00BE6716">
        <w:rPr>
          <w:rFonts w:eastAsia="Symbol"/>
          <w:sz w:val="28"/>
          <w:szCs w:val="28"/>
          <w:lang w:eastAsia="zh-CN" w:bidi="hi-IN"/>
        </w:rPr>
        <w:t xml:space="preserve">рекомендовано </w:t>
      </w:r>
      <w:r w:rsidR="009967C0" w:rsidRPr="00BE6716">
        <w:rPr>
          <w:rFonts w:eastAsia="Symbol"/>
          <w:sz w:val="28"/>
          <w:szCs w:val="28"/>
          <w:lang w:eastAsia="zh-CN" w:bidi="hi-IN"/>
        </w:rPr>
        <w:t>руководствоваться положениями Концепции при принятии в пределах своей компетенции решений в сфере развития наставничества.</w:t>
      </w:r>
    </w:p>
    <w:bookmarkEnd w:id="0"/>
    <w:p w14:paraId="44712BB6" w14:textId="74996F2E" w:rsidR="005169D3" w:rsidRPr="00BE6716" w:rsidRDefault="0068677D" w:rsidP="00926AAF">
      <w:pPr>
        <w:pStyle w:val="ConsPlusNormal0"/>
        <w:ind w:firstLine="567"/>
        <w:jc w:val="both"/>
        <w:rPr>
          <w:b/>
          <w:sz w:val="28"/>
          <w:szCs w:val="28"/>
        </w:rPr>
      </w:pPr>
      <w:r w:rsidRPr="00BE6716">
        <w:rPr>
          <w:b/>
          <w:sz w:val="28"/>
          <w:szCs w:val="28"/>
        </w:rPr>
        <w:t xml:space="preserve">Распоряжением Правительства Российской Федерации от 16.05.2025 № 1217-р «Об утверждении Концепции совершенствования деятельности органов опеки и попечительства в отношении несовершеннолетних граждан» </w:t>
      </w:r>
      <w:r w:rsidR="00926AAF" w:rsidRPr="00BE6716">
        <w:rPr>
          <w:b/>
          <w:sz w:val="28"/>
          <w:szCs w:val="28"/>
        </w:rPr>
        <w:t>у</w:t>
      </w:r>
      <w:r w:rsidR="00D57194" w:rsidRPr="00BE6716">
        <w:rPr>
          <w:b/>
          <w:sz w:val="28"/>
          <w:szCs w:val="28"/>
        </w:rPr>
        <w:t>тверждена концепция совершенствования деятельности органов опеки и попечительства в отношении несовершеннолетних граждан</w:t>
      </w:r>
      <w:r w:rsidRPr="00BE6716">
        <w:rPr>
          <w:b/>
          <w:sz w:val="28"/>
          <w:szCs w:val="28"/>
        </w:rPr>
        <w:t>.</w:t>
      </w:r>
    </w:p>
    <w:p w14:paraId="3E57BE75" w14:textId="72A9FE30" w:rsidR="005169D3" w:rsidRPr="00BE6716" w:rsidRDefault="00D57194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Основными задачами Концепции являются:</w:t>
      </w:r>
    </w:p>
    <w:p w14:paraId="47326E43" w14:textId="7A8AFDCD" w:rsidR="005169D3" w:rsidRPr="00BE6716" w:rsidRDefault="00D57194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определение подходов к новой структуре и организации деятельности органов опеки и попечительства в субъектах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 xml:space="preserve"> (в том числе планируется переход к региональной структуре органов опеки и попечительства, в которой соответствующие полномочия будет осуществлять исполнительный орган субъекта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 xml:space="preserve"> непосредственно и через свои территориальные подразделения, без передачи полномочий органам местного самоуправления, а также предусматривается создание (развитие) сети комплексных центров по защите прав и интересов детей);</w:t>
      </w:r>
    </w:p>
    <w:p w14:paraId="2DA8E728" w14:textId="5E996FBF" w:rsidR="0068677D" w:rsidRPr="00BE6716" w:rsidRDefault="0068677D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определение перечня полномочий органов опеки и попечительства;</w:t>
      </w:r>
    </w:p>
    <w:p w14:paraId="1F6BA4DF" w14:textId="3F60D0B9" w:rsidR="0068677D" w:rsidRPr="00BE6716" w:rsidRDefault="0068677D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определение подходов по закреплению правовых оснований расчета численности специалистов органов опеки и попечительства;</w:t>
      </w:r>
    </w:p>
    <w:p w14:paraId="54AF82C7" w14:textId="003416FD" w:rsidR="0068677D" w:rsidRPr="00BE6716" w:rsidRDefault="0068677D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закрепление типовых регламентов межведомственного взаимодействия при осуществлении органами опеки и попечительства своих полномочий (в том числе при взаимодействии с иными органами и организациями в сфере защиты прав детей);</w:t>
      </w:r>
    </w:p>
    <w:p w14:paraId="0CD41F55" w14:textId="696289DA" w:rsidR="005169D3" w:rsidRPr="00BE6716" w:rsidRDefault="0068677D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повышение уровня квалификации специалистов органов опеки и попечительства.</w:t>
      </w:r>
    </w:p>
    <w:p w14:paraId="0F5E974F" w14:textId="3D1A7E14" w:rsidR="005169D3" w:rsidRPr="00BE6716" w:rsidRDefault="00D57194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Реализация Концепции запланирована в 3 этапа в период 2025 - 2027 годов.</w:t>
      </w:r>
    </w:p>
    <w:p w14:paraId="075A5B67" w14:textId="2F642C16" w:rsidR="0068677D" w:rsidRPr="00BE6716" w:rsidRDefault="0068677D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Органам государственной власти субъектов Российской Федерации и органам местного самоуправления рекомендовано руководствоваться положениями Концепции при разработке и реализации региональных программ (подпрограмм) и иных документов.</w:t>
      </w:r>
    </w:p>
    <w:p w14:paraId="5532258A" w14:textId="5193D6A8" w:rsidR="0068457E" w:rsidRPr="00BE6716" w:rsidRDefault="0068457E" w:rsidP="00926AAF">
      <w:pPr>
        <w:pStyle w:val="ConsPlusNormal0"/>
        <w:ind w:firstLine="567"/>
        <w:jc w:val="both"/>
        <w:rPr>
          <w:b/>
          <w:sz w:val="28"/>
          <w:szCs w:val="28"/>
        </w:rPr>
      </w:pPr>
      <w:r w:rsidRPr="00BE6716">
        <w:rPr>
          <w:b/>
          <w:sz w:val="28"/>
          <w:szCs w:val="28"/>
        </w:rPr>
        <w:t xml:space="preserve">Приказом Минздрава России от 14.04.2025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 (зарегистрирован в Минюсте России 20.05.2025 № 82259) с 01.09.2025 актуализирован порядок </w:t>
      </w:r>
      <w:r w:rsidRPr="00BE6716">
        <w:rPr>
          <w:b/>
          <w:sz w:val="28"/>
          <w:szCs w:val="28"/>
        </w:rPr>
        <w:lastRenderedPageBreak/>
        <w:t>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служащими.</w:t>
      </w:r>
    </w:p>
    <w:p w14:paraId="65EF339A" w14:textId="6F151259" w:rsidR="0068457E" w:rsidRPr="00BE6716" w:rsidRDefault="0068457E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Данным приказом также утверждены:</w:t>
      </w:r>
    </w:p>
    <w:p w14:paraId="249B7875" w14:textId="77777777" w:rsidR="0068457E" w:rsidRPr="00BE6716" w:rsidRDefault="0068457E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перечень заболеваний, препятствующих поступлению на государственную гражданскую службу Российской Федерации и муниципальную службу или ее прохождению;</w:t>
      </w:r>
    </w:p>
    <w:p w14:paraId="7B68EE5A" w14:textId="527E3F54" w:rsidR="0068457E" w:rsidRPr="00BE6716" w:rsidRDefault="0068457E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учетная форма N 001-ГС/у «Заключение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прохождению».</w:t>
      </w:r>
    </w:p>
    <w:p w14:paraId="1D1B9AA5" w14:textId="79276538" w:rsidR="0068457E" w:rsidRPr="00BE6716" w:rsidRDefault="0068457E" w:rsidP="00926AAF">
      <w:pPr>
        <w:pStyle w:val="ConsPlusNormal0"/>
        <w:ind w:firstLine="567"/>
        <w:jc w:val="both"/>
        <w:rPr>
          <w:sz w:val="28"/>
          <w:szCs w:val="28"/>
        </w:rPr>
      </w:pPr>
      <w:proofErr w:type="gramStart"/>
      <w:r w:rsidRPr="00BE6716">
        <w:rPr>
          <w:sz w:val="28"/>
          <w:szCs w:val="28"/>
        </w:rPr>
        <w:t xml:space="preserve">Согласно </w:t>
      </w:r>
      <w:r w:rsidR="00926AAF" w:rsidRPr="00BE6716">
        <w:rPr>
          <w:sz w:val="28"/>
          <w:szCs w:val="28"/>
        </w:rPr>
        <w:t>утвержденному порядку</w:t>
      </w:r>
      <w:proofErr w:type="gramEnd"/>
      <w:r w:rsidRPr="00BE6716">
        <w:rPr>
          <w:sz w:val="28"/>
          <w:szCs w:val="28"/>
        </w:rPr>
        <w:t xml:space="preserve"> объем диспансеризации расширен</w:t>
      </w:r>
      <w:r w:rsidR="00926AAF" w:rsidRPr="00BE6716">
        <w:rPr>
          <w:sz w:val="28"/>
          <w:szCs w:val="28"/>
        </w:rPr>
        <w:t>,</w:t>
      </w:r>
      <w:r w:rsidRPr="00BE6716">
        <w:rPr>
          <w:sz w:val="28"/>
          <w:szCs w:val="28"/>
        </w:rPr>
        <w:t xml:space="preserve"> в него включены дополнительные лабораторные исследования.</w:t>
      </w:r>
      <w:r w:rsidR="00926AAF" w:rsidRPr="00BE6716">
        <w:rPr>
          <w:sz w:val="28"/>
          <w:szCs w:val="28"/>
        </w:rPr>
        <w:t xml:space="preserve"> </w:t>
      </w:r>
      <w:r w:rsidRPr="00BE6716">
        <w:rPr>
          <w:sz w:val="28"/>
          <w:szCs w:val="28"/>
        </w:rPr>
        <w:t>Сокра</w:t>
      </w:r>
      <w:r w:rsidR="00926AAF" w:rsidRPr="00BE6716">
        <w:rPr>
          <w:sz w:val="28"/>
          <w:szCs w:val="28"/>
        </w:rPr>
        <w:t>щено</w:t>
      </w:r>
      <w:r w:rsidRPr="00BE6716">
        <w:rPr>
          <w:sz w:val="28"/>
          <w:szCs w:val="28"/>
        </w:rPr>
        <w:t xml:space="preserve"> число групп здоровья, которые определяют по результатам диспансеризации, теперь их четыре. Изменены критерии отнесения служащих к каждой из этих групп.</w:t>
      </w:r>
    </w:p>
    <w:p w14:paraId="30697575" w14:textId="6981394B" w:rsidR="005169D3" w:rsidRPr="00BE6716" w:rsidRDefault="0068457E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Уточнен период действия заключения о наличии </w:t>
      </w:r>
      <w:r w:rsidR="00926AAF" w:rsidRPr="00BE6716">
        <w:rPr>
          <w:sz w:val="28"/>
          <w:szCs w:val="28"/>
        </w:rPr>
        <w:t>(</w:t>
      </w:r>
      <w:r w:rsidRPr="00BE6716">
        <w:rPr>
          <w:sz w:val="28"/>
          <w:szCs w:val="28"/>
        </w:rPr>
        <w:t>отсутствии</w:t>
      </w:r>
      <w:r w:rsidR="00926AAF" w:rsidRPr="00BE6716">
        <w:rPr>
          <w:sz w:val="28"/>
          <w:szCs w:val="28"/>
        </w:rPr>
        <w:t>)</w:t>
      </w:r>
      <w:r w:rsidRPr="00BE6716">
        <w:rPr>
          <w:sz w:val="28"/>
          <w:szCs w:val="28"/>
        </w:rPr>
        <w:t xml:space="preserve"> заболевания, препятствующего поступлению на службу или ее прохождению, которое служащий получает по результатам диспансеризации. </w:t>
      </w:r>
      <w:r w:rsidR="00926AAF" w:rsidRPr="00BE6716">
        <w:rPr>
          <w:sz w:val="28"/>
          <w:szCs w:val="28"/>
        </w:rPr>
        <w:t xml:space="preserve">В настоящее время </w:t>
      </w:r>
      <w:r w:rsidRPr="00BE6716">
        <w:rPr>
          <w:sz w:val="28"/>
          <w:szCs w:val="28"/>
        </w:rPr>
        <w:t xml:space="preserve">такое заключение действительно до прохождения следующей диспансеризации. </w:t>
      </w:r>
      <w:r w:rsidR="00926AAF" w:rsidRPr="00BE6716">
        <w:rPr>
          <w:sz w:val="28"/>
          <w:szCs w:val="28"/>
        </w:rPr>
        <w:t>В соответствии с утвержденным порядком с 01.09.2025</w:t>
      </w:r>
      <w:r w:rsidRPr="00BE6716">
        <w:rPr>
          <w:sz w:val="28"/>
          <w:szCs w:val="28"/>
        </w:rPr>
        <w:t xml:space="preserve"> </w:t>
      </w:r>
      <w:r w:rsidR="00926AAF" w:rsidRPr="00BE6716">
        <w:rPr>
          <w:sz w:val="28"/>
          <w:szCs w:val="28"/>
        </w:rPr>
        <w:t>заключение, выданное гражданскому служащему, муниципальному служащему по результатам диспансеризации, действительно до проведения следующей диспансеризации в случае продолжения прохождения государственной гражданской службы Российской Федерации или муниципальной службы либо в течение 1 года со дня его выдачи в случае увольнения с государственной гражданской службы Российской Федерации или муниципальной службы</w:t>
      </w:r>
      <w:r w:rsidRPr="00BE6716">
        <w:rPr>
          <w:sz w:val="28"/>
          <w:szCs w:val="28"/>
        </w:rPr>
        <w:t>.</w:t>
      </w:r>
    </w:p>
    <w:p w14:paraId="58CBD255" w14:textId="4AB4A6EA" w:rsidR="005169D3" w:rsidRPr="00BE6716" w:rsidRDefault="0068457E" w:rsidP="00926AAF">
      <w:pPr>
        <w:pStyle w:val="ConsPlusNormal0"/>
        <w:ind w:firstLine="567"/>
        <w:jc w:val="both"/>
        <w:rPr>
          <w:b/>
          <w:sz w:val="28"/>
          <w:szCs w:val="28"/>
        </w:rPr>
      </w:pPr>
      <w:r w:rsidRPr="00BE6716">
        <w:rPr>
          <w:b/>
          <w:sz w:val="28"/>
          <w:szCs w:val="28"/>
        </w:rPr>
        <w:t xml:space="preserve">Приказом Министерства юстиции Российской Федерации от 22.05.2025 № 118 «О внесении изменений в приказ Минюста России от 30.06.2023 № 163 «Об утверждении типовых уставов некоммерческих организаций» </w:t>
      </w:r>
      <w:bookmarkStart w:id="1" w:name="_Hlk199421325"/>
      <w:r w:rsidRPr="00BE6716">
        <w:rPr>
          <w:b/>
          <w:sz w:val="28"/>
          <w:szCs w:val="28"/>
        </w:rPr>
        <w:t xml:space="preserve">(зарегистрирован в Минюсте России 23.05.2025 № 82305) </w:t>
      </w:r>
      <w:bookmarkEnd w:id="1"/>
      <w:r w:rsidRPr="00BE6716">
        <w:rPr>
          <w:b/>
          <w:sz w:val="28"/>
          <w:szCs w:val="28"/>
        </w:rPr>
        <w:t>у</w:t>
      </w:r>
      <w:r w:rsidR="00D57194" w:rsidRPr="00BE6716">
        <w:rPr>
          <w:b/>
          <w:sz w:val="28"/>
          <w:szCs w:val="28"/>
        </w:rPr>
        <w:t>точнено содержание типовых уставов некоммерческих организаций</w:t>
      </w:r>
      <w:r w:rsidRPr="00BE6716">
        <w:rPr>
          <w:b/>
          <w:sz w:val="28"/>
          <w:szCs w:val="28"/>
        </w:rPr>
        <w:t>.</w:t>
      </w:r>
    </w:p>
    <w:p w14:paraId="19C558C8" w14:textId="77777777" w:rsidR="005169D3" w:rsidRPr="00BE6716" w:rsidRDefault="00D57194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В частности, в типовые уставы включены сведения о наличии (отсутствии) печати организации, а также сведения о наличии (отсутствии) символики организации и ее описание.</w:t>
      </w:r>
    </w:p>
    <w:p w14:paraId="42EBA63B" w14:textId="434333DC" w:rsidR="005169D3" w:rsidRPr="00BE6716" w:rsidRDefault="00D57194" w:rsidP="00926AAF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Закреплено</w:t>
      </w:r>
      <w:r w:rsidR="0068457E" w:rsidRPr="00BE6716">
        <w:rPr>
          <w:sz w:val="28"/>
          <w:szCs w:val="28"/>
        </w:rPr>
        <w:t xml:space="preserve"> также условие о том</w:t>
      </w:r>
      <w:r w:rsidRPr="00BE6716">
        <w:rPr>
          <w:sz w:val="28"/>
          <w:szCs w:val="28"/>
        </w:rPr>
        <w:t>, что в случае, если использование имущества ликвидируемой организации в соответствии с уставом организации не представляется возможным, оно обращается в доход государства.</w:t>
      </w:r>
    </w:p>
    <w:p w14:paraId="1D0B7669" w14:textId="3CBD7D6D" w:rsidR="005F13E5" w:rsidRPr="00BE6716" w:rsidRDefault="005F13E5" w:rsidP="00926AAF">
      <w:pPr>
        <w:widowControl w:val="0"/>
        <w:ind w:firstLine="567"/>
        <w:jc w:val="both"/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Приказ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ом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 Министерства юстиции Российской Федерации от 13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.05.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2025 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№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 106 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«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О внесении изменения в Порядок формирования попечительского совета при исправительном учреждении, срок полномочий, компетенцию и порядок деятельности указанного попечительского совета, утвержденные приказом Минюста России от 19.03.2015 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№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 62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»</w:t>
      </w:r>
      <w:r w:rsidR="0068457E" w:rsidRPr="00BE6716">
        <w:rPr>
          <w:sz w:val="28"/>
          <w:szCs w:val="28"/>
        </w:rPr>
        <w:t xml:space="preserve"> 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(зарегистрирован в Минюсте России 15.05.2025 № 82189)</w:t>
      </w:r>
      <w:bookmarkStart w:id="2" w:name="ext-gen8526"/>
      <w:bookmarkEnd w:id="2"/>
      <w:r w:rsidR="0068457E"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 xml:space="preserve"> 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>с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корректирован порядок формирования попечительского </w:t>
      </w:r>
      <w:r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lastRenderedPageBreak/>
        <w:t>совета при исправительном учреждении</w:t>
      </w:r>
      <w:r w:rsidR="0068457E" w:rsidRPr="00BE6716">
        <w:rPr>
          <w:rFonts w:ascii="Times New Roman" w:eastAsia="Symbol" w:hAnsi="Times New Roman" w:cs="Wingdings"/>
          <w:b/>
          <w:bCs/>
          <w:sz w:val="28"/>
          <w:szCs w:val="28"/>
          <w:lang w:eastAsia="zh-CN" w:bidi="hi-IN"/>
          <w14:ligatures w14:val="none"/>
        </w:rPr>
        <w:t xml:space="preserve"> с 27.06.2025.</w:t>
      </w:r>
    </w:p>
    <w:p w14:paraId="5BCA4A52" w14:textId="5514A06C" w:rsidR="005F13E5" w:rsidRPr="00BE6716" w:rsidRDefault="005F13E5" w:rsidP="00926AAF">
      <w:pPr>
        <w:widowControl w:val="0"/>
        <w:ind w:firstLine="567"/>
        <w:jc w:val="both"/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</w:pPr>
      <w:bookmarkStart w:id="3" w:name="p_1"/>
      <w:bookmarkEnd w:id="3"/>
      <w:r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 xml:space="preserve">Уточнено, что в состав попечительского совета при исправительном учреждении могут входить представители региональных и местных властей, социально ориентированных </w:t>
      </w:r>
      <w:r w:rsidR="0068457E"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>некоммерческих организаций</w:t>
      </w:r>
      <w:r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 xml:space="preserve">, а также общественных объединений, ассоциаций (союзов), фондов, </w:t>
      </w:r>
      <w:r w:rsidR="0068457E"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>автономных некоммерческих организаций</w:t>
      </w:r>
      <w:r w:rsidRPr="00BE6716"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  <w:t>, имеющих право на выдвижение кандидатур в состав общественной наблюдательной комиссии, граждане.</w:t>
      </w:r>
    </w:p>
    <w:p w14:paraId="07633167" w14:textId="77777777" w:rsidR="00D34989" w:rsidRPr="00BE6716" w:rsidRDefault="00D34989" w:rsidP="00926AAF">
      <w:pPr>
        <w:widowControl w:val="0"/>
        <w:ind w:firstLine="567"/>
        <w:jc w:val="both"/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</w:pPr>
    </w:p>
    <w:p w14:paraId="6554FA66" w14:textId="77C2BCE2" w:rsidR="005169D3" w:rsidRPr="00BE6716" w:rsidRDefault="00D34989" w:rsidP="00D34989">
      <w:pPr>
        <w:widowControl w:val="0"/>
        <w:ind w:firstLine="567"/>
        <w:jc w:val="both"/>
        <w:rPr>
          <w:rFonts w:ascii="Times New Roman" w:eastAsia="Symbol" w:hAnsi="Times New Roman" w:cs="Wingdings"/>
          <w:sz w:val="28"/>
          <w:szCs w:val="28"/>
          <w:lang w:eastAsia="zh-CN" w:bidi="hi-IN"/>
          <w14:ligatures w14:val="none"/>
        </w:rPr>
      </w:pPr>
      <w:r w:rsidRPr="00BE6716">
        <w:rPr>
          <w:rFonts w:ascii="Times New Roman" w:hAnsi="Times New Roman" w:cs="Times New Roman"/>
          <w:sz w:val="28"/>
          <w:szCs w:val="28"/>
          <w14:ligatures w14:val="none"/>
        </w:rPr>
        <w:t>Предлагаем обратить внимание на следующую судебную практику:</w:t>
      </w:r>
      <w:bookmarkStart w:id="4" w:name="p_2"/>
      <w:bookmarkEnd w:id="4"/>
    </w:p>
    <w:p w14:paraId="6F7D82B8" w14:textId="67809B01" w:rsidR="005169D3" w:rsidRPr="00BE6716" w:rsidRDefault="00D34989" w:rsidP="00D34989">
      <w:pPr>
        <w:pStyle w:val="ConsPlusNormal0"/>
        <w:ind w:firstLine="567"/>
        <w:jc w:val="both"/>
        <w:rPr>
          <w:b/>
          <w:sz w:val="28"/>
          <w:szCs w:val="28"/>
        </w:rPr>
      </w:pPr>
      <w:r w:rsidRPr="00BE6716">
        <w:rPr>
          <w:b/>
          <w:sz w:val="28"/>
          <w:szCs w:val="28"/>
        </w:rPr>
        <w:t xml:space="preserve">- Постановление Конституционного Суда Российской Федерации от 23.05.2025 № 21-П по делу о проверке конституционности части 2 статьи 1, статей 86 и 87 и части 1 статьи 89 Жилищного кодекса Российской Федерации, а также частей первой и второй статьи 1 и абзацев второго и четвертого статьи 2 Закона Российской Федерации </w:t>
      </w:r>
      <w:r w:rsidR="000A7032" w:rsidRPr="00BE6716">
        <w:rPr>
          <w:b/>
          <w:sz w:val="28"/>
          <w:szCs w:val="28"/>
        </w:rPr>
        <w:t>от 25.06.1993 № 5242-I «</w:t>
      </w:r>
      <w:r w:rsidRPr="00BE6716">
        <w:rPr>
          <w:b/>
          <w:sz w:val="28"/>
          <w:szCs w:val="28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0A7032" w:rsidRPr="00BE6716">
        <w:rPr>
          <w:b/>
          <w:sz w:val="28"/>
          <w:szCs w:val="28"/>
        </w:rPr>
        <w:t>»</w:t>
      </w:r>
      <w:r w:rsidRPr="00BE6716">
        <w:rPr>
          <w:b/>
          <w:sz w:val="28"/>
          <w:szCs w:val="28"/>
        </w:rPr>
        <w:t xml:space="preserve"> в связи с жалобой граждан И.В. </w:t>
      </w:r>
      <w:proofErr w:type="spellStart"/>
      <w:r w:rsidRPr="00BE6716">
        <w:rPr>
          <w:b/>
          <w:sz w:val="28"/>
          <w:szCs w:val="28"/>
        </w:rPr>
        <w:t>Федониной</w:t>
      </w:r>
      <w:proofErr w:type="spellEnd"/>
      <w:r w:rsidRPr="00BE6716">
        <w:rPr>
          <w:b/>
          <w:sz w:val="28"/>
          <w:szCs w:val="28"/>
        </w:rPr>
        <w:t xml:space="preserve"> и Ю.В. </w:t>
      </w:r>
      <w:proofErr w:type="spellStart"/>
      <w:r w:rsidRPr="00BE6716">
        <w:rPr>
          <w:b/>
          <w:sz w:val="28"/>
          <w:szCs w:val="28"/>
        </w:rPr>
        <w:t>Федониной</w:t>
      </w:r>
      <w:proofErr w:type="spellEnd"/>
      <w:r w:rsidR="000A7032" w:rsidRPr="00BE6716">
        <w:rPr>
          <w:b/>
          <w:sz w:val="28"/>
          <w:szCs w:val="28"/>
        </w:rPr>
        <w:t>, в котором</w:t>
      </w:r>
      <w:r w:rsidRPr="00BE6716">
        <w:rPr>
          <w:b/>
          <w:sz w:val="28"/>
          <w:szCs w:val="28"/>
        </w:rPr>
        <w:t xml:space="preserve"> </w:t>
      </w:r>
      <w:r w:rsidR="00D57194" w:rsidRPr="00BE6716">
        <w:rPr>
          <w:b/>
          <w:sz w:val="28"/>
          <w:szCs w:val="28"/>
        </w:rPr>
        <w:t xml:space="preserve">Конституционный Суд </w:t>
      </w:r>
      <w:r w:rsidR="000A7032" w:rsidRPr="00BE6716">
        <w:rPr>
          <w:b/>
          <w:sz w:val="28"/>
          <w:szCs w:val="28"/>
        </w:rPr>
        <w:t>подтвердил</w:t>
      </w:r>
      <w:r w:rsidR="00D57194" w:rsidRPr="00BE6716">
        <w:rPr>
          <w:b/>
          <w:sz w:val="28"/>
          <w:szCs w:val="28"/>
        </w:rPr>
        <w:t xml:space="preserve"> конституционность положений Жилищного кодекса</w:t>
      </w:r>
      <w:r w:rsidR="000A7032" w:rsidRPr="00BE6716">
        <w:rPr>
          <w:b/>
          <w:sz w:val="28"/>
          <w:szCs w:val="28"/>
        </w:rPr>
        <w:t xml:space="preserve"> Российской Федерации</w:t>
      </w:r>
      <w:r w:rsidR="00D57194" w:rsidRPr="00BE6716">
        <w:rPr>
          <w:b/>
          <w:sz w:val="28"/>
          <w:szCs w:val="28"/>
        </w:rPr>
        <w:t>, предполагающих возможность понуждения гражданина к заключению договора социального найма в связи с выселением из аварийного жилья</w:t>
      </w:r>
      <w:r w:rsidR="000A7032" w:rsidRPr="00BE6716">
        <w:rPr>
          <w:b/>
          <w:sz w:val="28"/>
          <w:szCs w:val="28"/>
        </w:rPr>
        <w:t>.</w:t>
      </w:r>
    </w:p>
    <w:p w14:paraId="74164209" w14:textId="073D31C0" w:rsidR="005169D3" w:rsidRPr="00BE6716" w:rsidRDefault="00D57194" w:rsidP="00D34989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Статья 86 и часть 1 статьи 89 Жилищного кодекса </w:t>
      </w:r>
      <w:r w:rsidR="004732FC" w:rsidRPr="00BE6716">
        <w:rPr>
          <w:sz w:val="28"/>
          <w:szCs w:val="28"/>
        </w:rPr>
        <w:t>Российской Федерации</w:t>
      </w:r>
      <w:r w:rsidRPr="00BE6716">
        <w:rPr>
          <w:sz w:val="28"/>
          <w:szCs w:val="28"/>
        </w:rPr>
        <w:t xml:space="preserve"> признаны не противоречащими Конституции Российской Федерации. Конституционный Суд отметил, что в системе действующего правового регулирования эти нормативные положения предполагают, что понуждение к заключению договора социального найма предложенного уполномоченным органом благоустроенного, находящегося в том же населенном пункте равнозначного жилого помещения допускается лишь в случаях, если дальнейшее проживание в фактически занимаемом гражданином жилом помещении, которое находится в аварийном доме, подлежащем сносу, угрожает жизни такого гражданина (совместно проживающих с ним лиц) или порождает реальные риски причинения существенного вреда здоровью такого гражданина (совместно проживающих с ним лиц), либо если отложение сноса здания, в котором продолжают проживать и (или) сохраняют регистрацию по месту жительства соответствующие граждане, создает угрозу для жизни, здоровья и безопасности других граждан или существенным образом для публичных интересов и единственным препятствием для сноса является указанное проживание (сохранение регистрации), либо если установлена недобросовестность гражданина в ситуации, когда он проживал в ином месте (тем более длительное время, в том числе когда предпосылкой для этого могли быть действия органа публичной власти), а в последующем немотивированно или по мотивам, не имеющим правовых оснований, отказывался от предоставляемого ему для проживания помещения, равнозначного ранее занимаемому непригодному для постоянного проживания.</w:t>
      </w:r>
    </w:p>
    <w:p w14:paraId="14F052CD" w14:textId="77777777" w:rsidR="005169D3" w:rsidRPr="00BE6716" w:rsidRDefault="00D57194" w:rsidP="00D34989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 xml:space="preserve">При этом на основании соглашения уполномоченного органа и гражданина в качестве альтернативы понуждению к заключению договора социального найма в </w:t>
      </w:r>
      <w:r w:rsidRPr="00BE6716">
        <w:rPr>
          <w:sz w:val="28"/>
          <w:szCs w:val="28"/>
        </w:rPr>
        <w:lastRenderedPageBreak/>
        <w:t>указанных случаях до решения вопроса об определении будущего места жительства гражданина допускается его вселение в жилое помещение маневренного фонда с сохранением за уполномоченным органом обязанности предоставить жилое помещение по договору социального найма.</w:t>
      </w:r>
    </w:p>
    <w:p w14:paraId="62A53BF1" w14:textId="26F42288" w:rsidR="005169D3" w:rsidRPr="00BE6716" w:rsidRDefault="00D57194" w:rsidP="00D34989">
      <w:pPr>
        <w:pStyle w:val="ConsPlusNormal0"/>
        <w:ind w:firstLine="567"/>
        <w:jc w:val="both"/>
        <w:rPr>
          <w:sz w:val="28"/>
          <w:szCs w:val="28"/>
        </w:rPr>
      </w:pPr>
      <w:r w:rsidRPr="00BE6716">
        <w:rPr>
          <w:sz w:val="28"/>
          <w:szCs w:val="28"/>
        </w:rPr>
        <w:t>Сохранение за уполномоченным органом такой обязанности в случае, если не будут установлены указанные основания к понуждению к заключению договора социального найма либо будет осуществлено вселение гражданина в жилое помещение маневренного фонда, не препятствует предоставлению жилых помещений иным нуждающимся в них гражданам в порядке очередности или в последовательности возникновения права на их предоставление вне очереди, а также применению разумных временных интервалов для предложения этому гражданину иного жилого помещения по договору социального найма</w:t>
      </w:r>
      <w:r w:rsidR="000A7032" w:rsidRPr="00BE6716">
        <w:rPr>
          <w:sz w:val="28"/>
          <w:szCs w:val="28"/>
        </w:rPr>
        <w:t>;</w:t>
      </w:r>
    </w:p>
    <w:p w14:paraId="686933BF" w14:textId="0156F532" w:rsidR="00E83279" w:rsidRPr="00BE6716" w:rsidRDefault="000A7032" w:rsidP="00016F4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16F4A" w:rsidRPr="00BE671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Конституционного Суда Российской Федерации от 26.05.2025 № 22-П по делу о проверке конституционности пунктов 1 и 2 статьи 302 Гражданского кодекса Российской Федерации в связи с жалобой гражданки Т.В. Панкратовой, содержащее позицию Конституционного Суда о том, что </w:t>
      </w:r>
      <w:r w:rsidR="00016F4A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</w:t>
      </w:r>
      <w:r w:rsidR="00E83279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ренебрежение требованиями разумности и осмотрительности со стороны публично-правового образования в лице компетентных органов не должно влиять на имущественные и неимущественные права граждан</w:t>
      </w:r>
      <w:r w:rsidR="00016F4A" w:rsidRPr="00BE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26F304F3" w14:textId="784D2104" w:rsidR="00E83279" w:rsidRPr="00BE6716" w:rsidRDefault="00E83279" w:rsidP="00D3498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противоречащим Конституции </w:t>
      </w:r>
      <w:r w:rsidR="004732FC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Российской Федерации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признан пункт 1 статьи 302 Г</w:t>
      </w:r>
      <w:r w:rsidR="00016F4A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ражданского кодекса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732FC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Российской Федерации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той мере, в какой он по своему конституционно-правовому смыслу в системе действующего правового регулирования не предполагает признания жилого помещения выбывшим из владения публично-правового образования помимо его воли для целей истребования у добросовестного приобретателя, если судом при разрешении вопроса о таком истребовании будет установлено, что уполномоченные органы (должностные лица) этого публично-правового образования совершали действия (принимали правовые акты), предусматривающие передачу жилого помещения частному лицу (гражданину), даже признанные в дальнейшем незаконными.</w:t>
      </w:r>
    </w:p>
    <w:p w14:paraId="4E314A42" w14:textId="40AF6F74" w:rsidR="00016F4A" w:rsidRPr="00BE6716" w:rsidRDefault="00016F4A" w:rsidP="00016F4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Волеизъявление публичного собственника на передачу имущества должно считаться очевидным, если такая передача опосредовалась актом местной администрации, изданным (подписанным) главой местной администрации, поскольку именно он руководит местной администрацией на принципах единоначалия, а местная администрация, в свою очередь, является исполнительно-распорядительным органом муниципального образования - собственника (часть 1 статьи 37 Федерального закона от 06.10.2003 № 131-ФЗ «Об общих принципах организации местного самоуправления в Российской Федерации»; такие же положения содержатся в частях 1 и 2 статьи 22 Федерального закона от 20.03.2025 года № 33-ФЗ «Об общих принципах организации местного самоуправления в единой системе публичной власти», который в соответствии с частью 1 его статьи 94 вступает в силу по истечении девяноста дней после дня официального опубликования, состоявшегося 20.03.2025 года, за исключением отдельных положений, вступающих в силу в иные сроки). Наличие такого акта не может не создавать у граждан при </w:t>
      </w: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приобретении ими жилых помещений разумной уверенности относительно обоснованности и законности их первоначального предоставления.</w:t>
      </w:r>
    </w:p>
    <w:p w14:paraId="4FE492C8" w14:textId="7DFFDD09" w:rsidR="00016F4A" w:rsidRPr="00BE6716" w:rsidRDefault="00016F4A" w:rsidP="00016F4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Хотя государственная регистрация вещных прав уполномоченным на то органом не является - с учетом разграничения компетенции между органами публичной власти - действием по распоряжению имуществом публично-правового образования и не означает передачи владения в том смысле, в каком это понимается в целях применения статьи 302 Гражданского кодекса Российской Федерации, тем не менее она выступает в качестве завершающего элемента юридического состава, влекущего возникновение, изменение, переход или прекращение соответствующих прав (постановления Конституционного Суда Российской Федерации от 10.11.2016 года № 23-П и от 28.01.2025 года № 3-П). Поэтому сам факт государственной регистрации прав гражданина на недвижимое имущество, переданное ему публичным собственником, можно рассматривать как презюмирующий наличие воли последнего на выбытие из его владения жилого помещения.</w:t>
      </w:r>
    </w:p>
    <w:p w14:paraId="31FFCB0E" w14:textId="68CA8BDE" w:rsidR="00E83279" w:rsidRPr="00E66A4C" w:rsidRDefault="00E83279" w:rsidP="00E66A4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этом сказанное не относится к ситуации, когда незаконное отчуждение жилого помещения (формирование оснований для включения в состав сведений ЕГРН записи о праве) связано, в частности, со сговором гражданина, которому предоставляется жилое помещение, и должностного лица при заведомом для них отсутствии законных оснований для предоставления имущества гражданину, что во всяком случае не должно затрагивать права добросовестного приобретателя соответствующего жилого помещения</w:t>
      </w:r>
      <w:r w:rsidR="00E66A4C" w:rsidRPr="00BE67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sectPr w:rsidR="00E83279" w:rsidRPr="00E66A4C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53AE" w14:textId="77777777" w:rsidR="00D57194" w:rsidRDefault="00D57194">
      <w:r>
        <w:separator/>
      </w:r>
    </w:p>
  </w:endnote>
  <w:endnote w:type="continuationSeparator" w:id="0">
    <w:p w14:paraId="774BE441" w14:textId="77777777" w:rsidR="00D57194" w:rsidRDefault="00D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3A26" w14:textId="77777777" w:rsidR="005169D3" w:rsidRDefault="00D571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C7B9" w14:textId="77777777" w:rsidR="005169D3" w:rsidRDefault="00D571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E247" w14:textId="77777777" w:rsidR="00D57194" w:rsidRDefault="00D57194">
      <w:r>
        <w:separator/>
      </w:r>
    </w:p>
  </w:footnote>
  <w:footnote w:type="continuationSeparator" w:id="0">
    <w:p w14:paraId="21EA3F47" w14:textId="77777777" w:rsidR="00D57194" w:rsidRDefault="00D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786"/>
    <w:multiLevelType w:val="hybridMultilevel"/>
    <w:tmpl w:val="83FCC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C0A"/>
    <w:multiLevelType w:val="multilevel"/>
    <w:tmpl w:val="E1E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14442">
    <w:abstractNumId w:val="1"/>
  </w:num>
  <w:num w:numId="2" w16cid:durableId="140216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D3"/>
    <w:rsid w:val="00016F4A"/>
    <w:rsid w:val="00042BD0"/>
    <w:rsid w:val="000A7032"/>
    <w:rsid w:val="000D49A1"/>
    <w:rsid w:val="000D6DB1"/>
    <w:rsid w:val="001E72AD"/>
    <w:rsid w:val="002D4017"/>
    <w:rsid w:val="002D6E45"/>
    <w:rsid w:val="003134C1"/>
    <w:rsid w:val="00313714"/>
    <w:rsid w:val="0044330C"/>
    <w:rsid w:val="004732FC"/>
    <w:rsid w:val="00475E68"/>
    <w:rsid w:val="005169D3"/>
    <w:rsid w:val="00530A8F"/>
    <w:rsid w:val="00557174"/>
    <w:rsid w:val="005D39DA"/>
    <w:rsid w:val="005F13E5"/>
    <w:rsid w:val="0068457E"/>
    <w:rsid w:val="0068677D"/>
    <w:rsid w:val="006B64FB"/>
    <w:rsid w:val="006D7821"/>
    <w:rsid w:val="006F66E4"/>
    <w:rsid w:val="007C556A"/>
    <w:rsid w:val="008A2B9E"/>
    <w:rsid w:val="00911D9E"/>
    <w:rsid w:val="00924518"/>
    <w:rsid w:val="00926AAF"/>
    <w:rsid w:val="009967C0"/>
    <w:rsid w:val="009E6014"/>
    <w:rsid w:val="00A04A99"/>
    <w:rsid w:val="00AA28EF"/>
    <w:rsid w:val="00AC63F4"/>
    <w:rsid w:val="00B80B3B"/>
    <w:rsid w:val="00B829DC"/>
    <w:rsid w:val="00BE6716"/>
    <w:rsid w:val="00C962B1"/>
    <w:rsid w:val="00D34989"/>
    <w:rsid w:val="00D57194"/>
    <w:rsid w:val="00E2301A"/>
    <w:rsid w:val="00E66A4C"/>
    <w:rsid w:val="00E73369"/>
    <w:rsid w:val="00E83279"/>
    <w:rsid w:val="00F83CD0"/>
    <w:rsid w:val="00F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EE4"/>
  <w15:docId w15:val="{424460F9-8508-429D-8E1A-E05FCA50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C6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3F4"/>
  </w:style>
  <w:style w:type="paragraph" w:styleId="a5">
    <w:name w:val="footer"/>
    <w:basedOn w:val="a"/>
    <w:link w:val="a6"/>
    <w:uiPriority w:val="99"/>
    <w:unhideWhenUsed/>
    <w:rsid w:val="00AC63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63F4"/>
  </w:style>
  <w:style w:type="paragraph" w:styleId="a7">
    <w:name w:val="Normal (Web)"/>
    <w:basedOn w:val="a"/>
    <w:uiPriority w:val="99"/>
    <w:unhideWhenUsed/>
    <w:rsid w:val="00F83C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F83CD0"/>
    <w:rPr>
      <w:b/>
      <w:bCs/>
    </w:rPr>
  </w:style>
  <w:style w:type="character" w:styleId="a9">
    <w:name w:val="Hyperlink"/>
    <w:basedOn w:val="a0"/>
    <w:uiPriority w:val="99"/>
    <w:semiHidden/>
    <w:unhideWhenUsed/>
    <w:rsid w:val="00F83CD0"/>
    <w:rPr>
      <w:color w:val="0000FF"/>
      <w:u w:val="single"/>
    </w:rPr>
  </w:style>
  <w:style w:type="paragraph" w:customStyle="1" w:styleId="revannmrcssattr">
    <w:name w:val="rev_ann_mr_css_attr"/>
    <w:basedOn w:val="a"/>
    <w:rsid w:val="00F83C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List Paragraph"/>
    <w:basedOn w:val="a"/>
    <w:uiPriority w:val="34"/>
    <w:qFormat/>
    <w:rsid w:val="00E2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540">
              <w:marLeft w:val="0"/>
              <w:marRight w:val="0"/>
              <w:marTop w:val="4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7782">
                  <w:marLeft w:val="240"/>
                  <w:marRight w:val="240"/>
                  <w:marTop w:val="42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7786">
                  <w:marLeft w:val="240"/>
                  <w:marRight w:val="240"/>
                  <w:marTop w:val="18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8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 марта по 24 мая 2025 года"</vt:lpstr>
    </vt:vector>
  </TitlesOfParts>
  <Company>КонсультантПлюс Версия 4024.00.50</Company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 марта по 24 мая 2025 года"</dc:title>
  <dc:creator>User</dc:creator>
  <cp:lastModifiedBy>User</cp:lastModifiedBy>
  <cp:revision>32</cp:revision>
  <dcterms:created xsi:type="dcterms:W3CDTF">2025-05-26T07:04:00Z</dcterms:created>
  <dcterms:modified xsi:type="dcterms:W3CDTF">2025-06-02T09:58:00Z</dcterms:modified>
</cp:coreProperties>
</file>